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3B47C8">
        <w:rPr>
          <w:b/>
          <w:sz w:val="32"/>
        </w:rPr>
        <w:t xml:space="preserve"> – HSC 2012 Question 3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3B47C8">
        <w:rPr>
          <w:rFonts w:cstheme="minorHAnsi"/>
          <w:b/>
        </w:rPr>
        <w:t>How is MUSICAL INTEREST maintained in this excerpt?</w:t>
      </w:r>
    </w:p>
    <w:p w:rsidR="008C53B2" w:rsidRPr="008C53B2" w:rsidRDefault="008C53B2" w:rsidP="00AA17E1">
      <w:pPr>
        <w:pStyle w:val="NoSpacing"/>
        <w:rPr>
          <w:rFonts w:cstheme="minorHAnsi"/>
          <w:i/>
        </w:rPr>
      </w:pPr>
      <w:r w:rsidRPr="008C53B2">
        <w:rPr>
          <w:rFonts w:cstheme="minorHAnsi"/>
          <w:i/>
        </w:rPr>
        <w:t>Wildcat Fanfare (</w:t>
      </w:r>
      <w:proofErr w:type="spellStart"/>
      <w:r w:rsidRPr="008C53B2">
        <w:rPr>
          <w:rFonts w:cstheme="minorHAnsi"/>
          <w:i/>
        </w:rPr>
        <w:t>Drumline</w:t>
      </w:r>
      <w:proofErr w:type="spellEnd"/>
      <w:r w:rsidRPr="008C53B2">
        <w:rPr>
          <w:rFonts w:cstheme="minorHAnsi"/>
          <w:i/>
        </w:rPr>
        <w:t>) by Colin O’Malley</w:t>
      </w:r>
    </w:p>
    <w:p w:rsidR="0047326E" w:rsidRDefault="0047326E" w:rsidP="00AF6E55">
      <w:pPr>
        <w:pStyle w:val="NoSpacing"/>
        <w:rPr>
          <w:b/>
          <w:sz w:val="10"/>
        </w:rPr>
      </w:pPr>
    </w:p>
    <w:p w:rsidR="00016CDD" w:rsidRPr="00016CDD" w:rsidRDefault="00016CDD" w:rsidP="00AF6E55">
      <w:pPr>
        <w:pStyle w:val="NoSpacing"/>
        <w:rPr>
          <w:rFonts w:cstheme="minorHAnsi"/>
        </w:rPr>
      </w:pPr>
      <w:r w:rsidRPr="00016CDD">
        <w:rPr>
          <w:rFonts w:cstheme="minorHAnsi"/>
        </w:rPr>
        <w:t>Use the table below to discuss musical interest in the excerpt relating to ALL concepts of music.</w:t>
      </w:r>
    </w:p>
    <w:p w:rsidR="00AA17E1" w:rsidRPr="0047326E" w:rsidRDefault="00AA17E1" w:rsidP="00AF6E55">
      <w:pPr>
        <w:pStyle w:val="NoSpacing"/>
        <w:rPr>
          <w:b/>
          <w:sz w:val="10"/>
        </w:rPr>
      </w:pPr>
    </w:p>
    <w:tbl>
      <w:tblPr>
        <w:tblStyle w:val="TableGrid"/>
        <w:tblW w:w="10917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392"/>
        <w:gridCol w:w="1048"/>
        <w:gridCol w:w="2394"/>
        <w:gridCol w:w="7083"/>
      </w:tblGrid>
      <w:tr w:rsidR="008C53B2" w:rsidTr="00AE55E1">
        <w:trPr>
          <w:gridAfter w:val="1"/>
          <w:wAfter w:w="7083" w:type="dxa"/>
          <w:trHeight w:val="355"/>
        </w:trPr>
        <w:tc>
          <w:tcPr>
            <w:tcW w:w="1440" w:type="dxa"/>
            <w:gridSpan w:val="2"/>
            <w:tcBorders>
              <w:top w:val="nil"/>
              <w:left w:val="nil"/>
            </w:tcBorders>
          </w:tcPr>
          <w:p w:rsidR="008C53B2" w:rsidRDefault="008C53B2" w:rsidP="00AF6E55">
            <w:pPr>
              <w:pStyle w:val="NoSpacing"/>
            </w:pPr>
          </w:p>
        </w:tc>
        <w:tc>
          <w:tcPr>
            <w:tcW w:w="2394" w:type="dxa"/>
            <w:shd w:val="clear" w:color="auto" w:fill="D6E3BC" w:themeFill="accent3" w:themeFillTint="66"/>
          </w:tcPr>
          <w:p w:rsidR="008C53B2" w:rsidRPr="00AF6E55" w:rsidRDefault="008C53B2" w:rsidP="007E471F">
            <w:pPr>
              <w:pStyle w:val="NoSpacing"/>
              <w:rPr>
                <w:b/>
              </w:rPr>
            </w:pPr>
            <w:r>
              <w:rPr>
                <w:b/>
              </w:rPr>
              <w:t>Points to consider</w:t>
            </w:r>
          </w:p>
        </w:tc>
      </w:tr>
      <w:tr w:rsidR="008C53B2" w:rsidTr="00AE55E1">
        <w:trPr>
          <w:cantSplit/>
          <w:trHeight w:val="2288"/>
        </w:trPr>
        <w:tc>
          <w:tcPr>
            <w:tcW w:w="392" w:type="dxa"/>
            <w:vMerge w:val="restart"/>
            <w:shd w:val="clear" w:color="auto" w:fill="403152" w:themeFill="accent4" w:themeFillShade="80"/>
            <w:textDirection w:val="btLr"/>
            <w:vAlign w:val="center"/>
          </w:tcPr>
          <w:p w:rsidR="008C53B2" w:rsidRPr="00AF6E55" w:rsidRDefault="00016CDD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CONCEPTS</w:t>
            </w: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C53B2" w:rsidRPr="008C53B2" w:rsidRDefault="008C53B2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Pitch</w:t>
            </w:r>
          </w:p>
        </w:tc>
        <w:tc>
          <w:tcPr>
            <w:tcW w:w="2394" w:type="dxa"/>
            <w:shd w:val="clear" w:color="auto" w:fill="EAF1DD" w:themeFill="accent3" w:themeFillTint="33"/>
          </w:tcPr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Harmony (definite / indefinite)</w:t>
            </w:r>
          </w:p>
          <w:p w:rsidR="008C53B2" w:rsidRPr="004F7DF5" w:rsidRDefault="00AE19A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Melodic</w:t>
            </w:r>
            <w:r w:rsidR="008C53B2" w:rsidRPr="004F7DF5">
              <w:t xml:space="preserve"> / Harmonic roles</w:t>
            </w:r>
          </w:p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Register / range</w:t>
            </w:r>
          </w:p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 xml:space="preserve">Contour / shape </w:t>
            </w:r>
          </w:p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Ostinato, riffs, etc.</w:t>
            </w:r>
          </w:p>
        </w:tc>
        <w:tc>
          <w:tcPr>
            <w:tcW w:w="7083" w:type="dxa"/>
          </w:tcPr>
          <w:p w:rsidR="008C53B2" w:rsidRDefault="008C53B2" w:rsidP="00AF6E55">
            <w:pPr>
              <w:pStyle w:val="NoSpacing"/>
            </w:pPr>
            <w:bookmarkStart w:id="0" w:name="_GoBack"/>
            <w:bookmarkEnd w:id="0"/>
          </w:p>
        </w:tc>
      </w:tr>
      <w:tr w:rsidR="008C53B2" w:rsidTr="00AE55E1">
        <w:trPr>
          <w:cantSplit/>
          <w:trHeight w:val="2288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8C53B2" w:rsidRDefault="008C53B2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C53B2" w:rsidRPr="008C53B2" w:rsidRDefault="008C53B2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Duration</w:t>
            </w:r>
          </w:p>
        </w:tc>
        <w:tc>
          <w:tcPr>
            <w:tcW w:w="2394" w:type="dxa"/>
            <w:shd w:val="clear" w:color="auto" w:fill="EAF1DD" w:themeFill="accent3" w:themeFillTint="33"/>
          </w:tcPr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Beat (steady, strong, changing)</w:t>
            </w:r>
          </w:p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Metre (time signature)</w:t>
            </w:r>
          </w:p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Use of syncopation</w:t>
            </w:r>
          </w:p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Note values (Notate rhythmic patterns)</w:t>
            </w:r>
          </w:p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Rhythmic patterns</w:t>
            </w:r>
          </w:p>
        </w:tc>
        <w:tc>
          <w:tcPr>
            <w:tcW w:w="7083" w:type="dxa"/>
          </w:tcPr>
          <w:p w:rsidR="008C53B2" w:rsidRDefault="008C53B2" w:rsidP="00AF6E55">
            <w:pPr>
              <w:pStyle w:val="NoSpacing"/>
            </w:pPr>
          </w:p>
        </w:tc>
      </w:tr>
      <w:tr w:rsidR="008C53B2" w:rsidTr="00AE55E1">
        <w:trPr>
          <w:cantSplit/>
          <w:trHeight w:val="2288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8C53B2" w:rsidRDefault="008C53B2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C53B2" w:rsidRPr="008C53B2" w:rsidRDefault="008C53B2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Structure</w:t>
            </w:r>
          </w:p>
        </w:tc>
        <w:tc>
          <w:tcPr>
            <w:tcW w:w="2394" w:type="dxa"/>
            <w:shd w:val="clear" w:color="auto" w:fill="EAF1DD" w:themeFill="accent3" w:themeFillTint="33"/>
          </w:tcPr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Note instrument changes between sections</w:t>
            </w:r>
          </w:p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bars per section</w:t>
            </w:r>
          </w:p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Internal phrasing between sections</w:t>
            </w:r>
          </w:p>
        </w:tc>
        <w:tc>
          <w:tcPr>
            <w:tcW w:w="7083" w:type="dxa"/>
          </w:tcPr>
          <w:p w:rsidR="008C53B2" w:rsidRDefault="008C53B2" w:rsidP="00AF6E55">
            <w:pPr>
              <w:pStyle w:val="NoSpacing"/>
            </w:pPr>
          </w:p>
        </w:tc>
      </w:tr>
      <w:tr w:rsidR="008C53B2" w:rsidTr="00AE55E1">
        <w:trPr>
          <w:cantSplit/>
          <w:trHeight w:val="2288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8C53B2" w:rsidRDefault="008C53B2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C53B2" w:rsidRPr="008C53B2" w:rsidRDefault="008C53B2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Tone colour</w:t>
            </w:r>
          </w:p>
        </w:tc>
        <w:tc>
          <w:tcPr>
            <w:tcW w:w="2394" w:type="dxa"/>
            <w:shd w:val="clear" w:color="auto" w:fill="EAF1DD" w:themeFill="accent3" w:themeFillTint="33"/>
          </w:tcPr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List instruments</w:t>
            </w:r>
          </w:p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Timbre</w:t>
            </w:r>
          </w:p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Ensemble type</w:t>
            </w:r>
          </w:p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Instrument technique</w:t>
            </w:r>
          </w:p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Moods and effects</w:t>
            </w:r>
          </w:p>
        </w:tc>
        <w:tc>
          <w:tcPr>
            <w:tcW w:w="7083" w:type="dxa"/>
          </w:tcPr>
          <w:p w:rsidR="008C53B2" w:rsidRDefault="008C53B2" w:rsidP="00AF6E55">
            <w:pPr>
              <w:pStyle w:val="NoSpacing"/>
            </w:pPr>
          </w:p>
        </w:tc>
      </w:tr>
      <w:tr w:rsidR="008C53B2" w:rsidTr="00AE55E1">
        <w:trPr>
          <w:cantSplit/>
          <w:trHeight w:val="2288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8C53B2" w:rsidRDefault="008C53B2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C53B2" w:rsidRPr="008C53B2" w:rsidRDefault="008C53B2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Texture</w:t>
            </w:r>
          </w:p>
        </w:tc>
        <w:tc>
          <w:tcPr>
            <w:tcW w:w="2394" w:type="dxa"/>
            <w:shd w:val="clear" w:color="auto" w:fill="EAF1DD" w:themeFill="accent3" w:themeFillTint="33"/>
          </w:tcPr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Layer role</w:t>
            </w:r>
          </w:p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Layer density</w:t>
            </w:r>
          </w:p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Texture type (homophonic</w:t>
            </w:r>
            <w:r w:rsidR="00AE19A4">
              <w:t xml:space="preserve"> etc.</w:t>
            </w:r>
            <w:r>
              <w:t>)</w:t>
            </w:r>
          </w:p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Changes in density</w:t>
            </w:r>
          </w:p>
        </w:tc>
        <w:tc>
          <w:tcPr>
            <w:tcW w:w="7083" w:type="dxa"/>
          </w:tcPr>
          <w:p w:rsidR="008C53B2" w:rsidRDefault="008C53B2" w:rsidP="00AF6E55">
            <w:pPr>
              <w:pStyle w:val="NoSpacing"/>
            </w:pPr>
          </w:p>
        </w:tc>
      </w:tr>
      <w:tr w:rsidR="008C53B2" w:rsidTr="00AE55E1">
        <w:trPr>
          <w:cantSplit/>
          <w:trHeight w:val="2302"/>
        </w:trPr>
        <w:tc>
          <w:tcPr>
            <w:tcW w:w="392" w:type="dxa"/>
            <w:shd w:val="clear" w:color="auto" w:fill="403152" w:themeFill="accent4" w:themeFillShade="80"/>
          </w:tcPr>
          <w:p w:rsidR="008C53B2" w:rsidRDefault="008C53B2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C53B2" w:rsidRPr="008C53B2" w:rsidRDefault="008C53B2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Dynamics &amp; Expressive techniques</w:t>
            </w:r>
          </w:p>
        </w:tc>
        <w:tc>
          <w:tcPr>
            <w:tcW w:w="2394" w:type="dxa"/>
            <w:shd w:val="clear" w:color="auto" w:fill="EAF1DD" w:themeFill="accent3" w:themeFillTint="33"/>
          </w:tcPr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Volume of instrument or layer</w:t>
            </w:r>
          </w:p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Changes in dynamics</w:t>
            </w:r>
          </w:p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 xml:space="preserve">Speed and tempo changes (accelerando, </w:t>
            </w:r>
            <w:proofErr w:type="spellStart"/>
            <w:r>
              <w:t>rubato</w:t>
            </w:r>
            <w:proofErr w:type="spellEnd"/>
            <w:r>
              <w:t>)</w:t>
            </w:r>
          </w:p>
          <w:p w:rsidR="008C53B2" w:rsidRDefault="008C53B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Use of climax</w:t>
            </w:r>
          </w:p>
        </w:tc>
        <w:tc>
          <w:tcPr>
            <w:tcW w:w="7083" w:type="dxa"/>
          </w:tcPr>
          <w:p w:rsidR="008C53B2" w:rsidRDefault="008C53B2" w:rsidP="00AF6E55">
            <w:pPr>
              <w:pStyle w:val="NoSpacing"/>
            </w:pPr>
          </w:p>
        </w:tc>
      </w:tr>
    </w:tbl>
    <w:p w:rsidR="00B327D2" w:rsidRPr="00B327D2" w:rsidRDefault="00B327D2" w:rsidP="00B327D2">
      <w:pPr>
        <w:pStyle w:val="NoSpacing"/>
        <w:spacing w:line="360" w:lineRule="auto"/>
      </w:pPr>
    </w:p>
    <w:sectPr w:rsidR="00B327D2" w:rsidRPr="00B327D2" w:rsidSect="00016CDD">
      <w:pgSz w:w="11906" w:h="16838"/>
      <w:pgMar w:top="425" w:right="340" w:bottom="28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4D0ACF"/>
    <w:multiLevelType w:val="hybridMultilevel"/>
    <w:tmpl w:val="AB1AADCC"/>
    <w:lvl w:ilvl="0" w:tplc="7D06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16CDD"/>
    <w:rsid w:val="000A48F4"/>
    <w:rsid w:val="00197DCB"/>
    <w:rsid w:val="00293F75"/>
    <w:rsid w:val="002964F7"/>
    <w:rsid w:val="003B47C8"/>
    <w:rsid w:val="0047326E"/>
    <w:rsid w:val="004F7DF5"/>
    <w:rsid w:val="00527C16"/>
    <w:rsid w:val="00730DB8"/>
    <w:rsid w:val="00777DE8"/>
    <w:rsid w:val="007E471F"/>
    <w:rsid w:val="00874826"/>
    <w:rsid w:val="008C53B2"/>
    <w:rsid w:val="00AA17E1"/>
    <w:rsid w:val="00AE19A4"/>
    <w:rsid w:val="00AE55E1"/>
    <w:rsid w:val="00AF6E55"/>
    <w:rsid w:val="00B327D2"/>
    <w:rsid w:val="00B97BCD"/>
    <w:rsid w:val="00CB0C1C"/>
    <w:rsid w:val="00D118CC"/>
    <w:rsid w:val="00FA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Mr.B</dc:creator>
  <cp:lastModifiedBy>Fumbles</cp:lastModifiedBy>
  <cp:revision>6</cp:revision>
  <cp:lastPrinted>2014-08-13T00:28:00Z</cp:lastPrinted>
  <dcterms:created xsi:type="dcterms:W3CDTF">2015-03-04T04:27:00Z</dcterms:created>
  <dcterms:modified xsi:type="dcterms:W3CDTF">2015-03-04T05:19:00Z</dcterms:modified>
</cp:coreProperties>
</file>